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FA429" w14:textId="77777777" w:rsidR="00B96D0B" w:rsidRPr="00B96D0B" w:rsidRDefault="00B96D0B" w:rsidP="00B96D0B">
      <w:pPr>
        <w:spacing w:after="100" w:afterAutospacing="1" w:line="240" w:lineRule="auto"/>
        <w:jc w:val="center"/>
        <w:outlineLvl w:val="1"/>
        <w:rPr>
          <w:rFonts w:ascii="TH NiramitIT๙" w:eastAsia="Times New Roman" w:hAnsi="TH NiramitIT๙" w:cs="TH NiramitIT๙"/>
          <w:b/>
          <w:bCs/>
          <w:caps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b/>
          <w:bCs/>
          <w:caps/>
          <w:sz w:val="32"/>
          <w:szCs w:val="32"/>
          <w:cs/>
        </w:rPr>
        <w:t xml:space="preserve">ศูนย์เรียนรู้ชุมชน </w:t>
      </w:r>
      <w:r w:rsidRPr="00B96D0B">
        <w:rPr>
          <w:rFonts w:ascii="TH NiramitIT๙" w:eastAsia="Times New Roman" w:hAnsi="TH NiramitIT๙" w:cs="TH NiramitIT๙"/>
          <w:b/>
          <w:bCs/>
          <w:caps/>
          <w:sz w:val="32"/>
          <w:szCs w:val="32"/>
        </w:rPr>
        <w:t xml:space="preserve">1 </w:t>
      </w:r>
      <w:r w:rsidRPr="00B96D0B">
        <w:rPr>
          <w:rFonts w:ascii="TH NiramitIT๙" w:eastAsia="Times New Roman" w:hAnsi="TH NiramitIT๙" w:cs="TH NiramitIT๙"/>
          <w:b/>
          <w:bCs/>
          <w:caps/>
          <w:sz w:val="32"/>
          <w:szCs w:val="32"/>
          <w:cs/>
        </w:rPr>
        <w:t xml:space="preserve">ไร่ </w:t>
      </w:r>
      <w:r w:rsidRPr="00B96D0B">
        <w:rPr>
          <w:rFonts w:ascii="TH NiramitIT๙" w:eastAsia="Times New Roman" w:hAnsi="TH NiramitIT๙" w:cs="TH NiramitIT๙"/>
          <w:b/>
          <w:bCs/>
          <w:caps/>
          <w:sz w:val="32"/>
          <w:szCs w:val="32"/>
        </w:rPr>
        <w:t xml:space="preserve">1 </w:t>
      </w:r>
      <w:r w:rsidRPr="00B96D0B">
        <w:rPr>
          <w:rFonts w:ascii="TH NiramitIT๙" w:eastAsia="Times New Roman" w:hAnsi="TH NiramitIT๙" w:cs="TH NiramitIT๙"/>
          <w:b/>
          <w:bCs/>
          <w:caps/>
          <w:sz w:val="32"/>
          <w:szCs w:val="32"/>
          <w:cs/>
        </w:rPr>
        <w:t>แสน</w:t>
      </w:r>
    </w:p>
    <w:p w14:paraId="0589906A" w14:textId="77777777" w:rsidR="00B96D0B" w:rsidRPr="00B96D0B" w:rsidRDefault="00B96D0B" w:rsidP="00B96D0B">
      <w:pPr>
        <w:spacing w:after="0" w:line="240" w:lineRule="auto"/>
        <w:rPr>
          <w:rFonts w:ascii="TH NiramitIT๙" w:eastAsia="Times New Roman" w:hAnsi="TH NiramitIT๙" w:cs="TH NiramitIT๙"/>
          <w:caps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caps/>
          <w:sz w:val="32"/>
          <w:szCs w:val="32"/>
        </w:rPr>
        <w:t xml:space="preserve">32 </w:t>
      </w:r>
      <w:r w:rsidRPr="00B96D0B">
        <w:rPr>
          <w:rFonts w:ascii="TH NiramitIT๙" w:eastAsia="Times New Roman" w:hAnsi="TH NiramitIT๙" w:cs="TH NiramitIT๙"/>
          <w:caps/>
          <w:sz w:val="32"/>
          <w:szCs w:val="32"/>
          <w:cs/>
        </w:rPr>
        <w:t xml:space="preserve">หมู่ที่ </w:t>
      </w:r>
      <w:r w:rsidRPr="00B96D0B">
        <w:rPr>
          <w:rFonts w:ascii="TH NiramitIT๙" w:eastAsia="Times New Roman" w:hAnsi="TH NiramitIT๙" w:cs="TH NiramitIT๙"/>
          <w:caps/>
          <w:sz w:val="32"/>
          <w:szCs w:val="32"/>
        </w:rPr>
        <w:t xml:space="preserve">3 </w:t>
      </w:r>
      <w:r w:rsidRPr="00B96D0B">
        <w:rPr>
          <w:rFonts w:ascii="TH NiramitIT๙" w:eastAsia="Times New Roman" w:hAnsi="TH NiramitIT๙" w:cs="TH NiramitIT๙"/>
          <w:caps/>
          <w:sz w:val="32"/>
          <w:szCs w:val="32"/>
          <w:cs/>
        </w:rPr>
        <w:t>บ้านโนนสวรรค์ ตำบลคอน</w:t>
      </w:r>
      <w:proofErr w:type="spellStart"/>
      <w:r w:rsidRPr="00B96D0B">
        <w:rPr>
          <w:rFonts w:ascii="TH NiramitIT๙" w:eastAsia="Times New Roman" w:hAnsi="TH NiramitIT๙" w:cs="TH NiramitIT๙"/>
          <w:caps/>
          <w:sz w:val="32"/>
          <w:szCs w:val="32"/>
          <w:cs/>
        </w:rPr>
        <w:t>ฉิม</w:t>
      </w:r>
      <w:proofErr w:type="spellEnd"/>
      <w:r w:rsidRPr="00B96D0B">
        <w:rPr>
          <w:rFonts w:ascii="TH NiramitIT๙" w:eastAsia="Times New Roman" w:hAnsi="TH NiramitIT๙" w:cs="TH NiramitIT๙"/>
          <w:caps/>
          <w:sz w:val="32"/>
          <w:szCs w:val="32"/>
          <w:cs/>
        </w:rPr>
        <w:t xml:space="preserve"> อำเภอแวงใหญ่ จังหวัดขอนแก่น </w:t>
      </w:r>
      <w:r w:rsidRPr="00B96D0B">
        <w:rPr>
          <w:rFonts w:ascii="TH NiramitIT๙" w:eastAsia="Times New Roman" w:hAnsi="TH NiramitIT๙" w:cs="TH NiramitIT๙"/>
          <w:caps/>
          <w:sz w:val="32"/>
          <w:szCs w:val="32"/>
        </w:rPr>
        <w:t>40330</w:t>
      </w:r>
    </w:p>
    <w:p w14:paraId="517AD8ED" w14:textId="7294A1A0" w:rsidR="00B96D0B" w:rsidRPr="00B96D0B" w:rsidRDefault="00B96D0B" w:rsidP="00B96D0B">
      <w:pPr>
        <w:spacing w:after="100" w:afterAutospacing="1" w:line="240" w:lineRule="auto"/>
        <w:jc w:val="both"/>
        <w:rPr>
          <w:rFonts w:ascii="TH NiramitIT๙" w:eastAsia="Times New Roman" w:hAnsi="TH NiramitIT๙" w:cs="TH NiramitIT๙" w:hint="cs"/>
          <w:color w:val="4F614A"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นายหนูกาล วิรุณละพันธ์ ที่อยู่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32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หมู่ที่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3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>บ้านโนนสวรรค์ ตำบลคอน</w:t>
      </w:r>
      <w:proofErr w:type="spellStart"/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>ฉิม</w:t>
      </w:r>
      <w:proofErr w:type="spellEnd"/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 อำเภอแวงใหญ่ จังหวัดขอนแก่น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>40330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br/>
      </w:r>
      <w:r w:rsidRPr="00B96D0B">
        <w:rPr>
          <w:rFonts w:ascii="TH NiramitIT๙" w:eastAsia="Times New Roman" w:hAnsi="TH NiramitIT๙" w:cs="TH NiramitIT๙"/>
          <w:noProof/>
          <w:color w:val="4F614A"/>
          <w:sz w:val="32"/>
          <w:szCs w:val="32"/>
        </w:rPr>
        <w:drawing>
          <wp:inline distT="0" distB="0" distL="0" distR="0" wp14:anchorId="0524615D" wp14:editId="236BB9A7">
            <wp:extent cx="5731510" cy="3222625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0D7BB" w14:textId="77777777" w:rsidR="00B96D0B" w:rsidRPr="00B96D0B" w:rsidRDefault="00B96D0B" w:rsidP="00B96D0B">
      <w:pPr>
        <w:spacing w:after="100" w:afterAutospacing="1" w:line="240" w:lineRule="auto"/>
        <w:outlineLvl w:val="1"/>
        <w:rPr>
          <w:rFonts w:ascii="TH NiramitIT๙" w:eastAsia="Times New Roman" w:hAnsi="TH NiramitIT๙" w:cs="TH NiramitIT๙"/>
          <w:b/>
          <w:bCs/>
          <w:caps/>
          <w:color w:val="343A40"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b/>
          <w:bCs/>
          <w:caps/>
          <w:color w:val="343A40"/>
          <w:sz w:val="32"/>
          <w:szCs w:val="32"/>
          <w:cs/>
        </w:rPr>
        <w:t>จุดเด่นของศูนย์</w:t>
      </w:r>
    </w:p>
    <w:p w14:paraId="7CC126C1" w14:textId="6A1E5401" w:rsidR="00B96D0B" w:rsidRPr="00B96D0B" w:rsidRDefault="00B96D0B" w:rsidP="00B96D0B">
      <w:pPr>
        <w:spacing w:after="100" w:afterAutospacing="1" w:line="240" w:lineRule="auto"/>
        <w:jc w:val="both"/>
        <w:rPr>
          <w:rFonts w:ascii="TH NiramitIT๙" w:eastAsia="Times New Roman" w:hAnsi="TH NiramitIT๙" w:cs="TH NiramitIT๙"/>
          <w:color w:val="4F614A"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   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การทำเกษตรผสมผสาน โดยมีหลักสูตรการเรียนการสอนปรัชญาเศรษฐกิจพอเพียง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1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ไร่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1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>แสน การปลูกผักหวานป่า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การเลี้ยงปลา การปลูกข้าว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1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ไร่ ได้ข้าว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100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>ถัง การอนุรักษ์ไม้ยืนต้น การเพาะเห็ดและปลูกพืชในป่าธรรมชาติ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br/>
        <w:t xml:space="preserve">   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ศูนย์เรียนรู้ชุมชนบ้านโนนสวรรค์ จำนวนพื้นที่ของศูนย์ฯ มี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21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ไร่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3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งาน ประเภทกิจกรรมทางการเกษตร : เกษตรผสมผสาน นายหนูกาล วิรุณละพันธ์ ได้มีโอกาสเข้ารับการศึกษาดูงานที่ศูนย์ปราชญ์ ชาวบ้านพ่อผาย สร้อยสระกลาง จังหวัดบุรีรัมย์ จึงเกิดแรงบันดาลใจในการทำการเกษตรแบบผสมผสานตามปรัชญาเศรษฐกิจพอเพียง โดยได้เริ่มจากการทำนา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1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ไร่ ได้ข้าว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100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>ถัง และการทำเกษตรประณีต คือ "การปลูกทุกอย่างที่กินได้" จนประสบผลสำเร็จจนเป็นสถานที่ศึกษาดูงาน และได้มีหน่วยงานราชการ</w:t>
      </w:r>
      <w:proofErr w:type="spellStart"/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>ต่างๆ</w:t>
      </w:r>
      <w:proofErr w:type="spellEnd"/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 ในจังหวัดสนับสนุนงบประมาณในการพัฒนาศูนย์ฯ เพื่อให้เป็นแหล่งเรียนรู้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lastRenderedPageBreak/>
        <w:t>ด้านการเกษตร การดำเนินชีวิตตามหลักปรัชญาเศรษฐกิจพอเพียง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br/>
      </w:r>
      <w:r w:rsidRPr="00B96D0B">
        <w:rPr>
          <w:rFonts w:ascii="TH NiramitIT๙" w:eastAsia="Times New Roman" w:hAnsi="TH NiramitIT๙" w:cs="TH NiramitIT๙"/>
          <w:noProof/>
          <w:color w:val="4F614A"/>
          <w:sz w:val="32"/>
          <w:szCs w:val="32"/>
        </w:rPr>
        <w:drawing>
          <wp:inline distT="0" distB="0" distL="0" distR="0" wp14:anchorId="5FB7D2C6" wp14:editId="5ED34581">
            <wp:extent cx="5731510" cy="1957070"/>
            <wp:effectExtent l="0" t="0" r="2540" b="508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8A3D7" w14:textId="77777777" w:rsidR="00B96D0B" w:rsidRPr="00B96D0B" w:rsidRDefault="00B96D0B" w:rsidP="00B96D0B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sz w:val="32"/>
          <w:szCs w:val="32"/>
          <w:cs/>
        </w:rPr>
        <w:t xml:space="preserve">กรกฎาคม </w:t>
      </w:r>
      <w:r w:rsidRPr="00B96D0B">
        <w:rPr>
          <w:rFonts w:ascii="TH NiramitIT๙" w:eastAsia="Times New Roman" w:hAnsi="TH NiramitIT๙" w:cs="TH NiramitIT๙"/>
          <w:sz w:val="32"/>
          <w:szCs w:val="32"/>
        </w:rPr>
        <w:t>2561</w:t>
      </w:r>
    </w:p>
    <w:p w14:paraId="15B22DF9" w14:textId="77777777" w:rsidR="00B96D0B" w:rsidRPr="00B96D0B" w:rsidRDefault="00B96D0B" w:rsidP="00B96D0B">
      <w:pPr>
        <w:spacing w:after="100" w:afterAutospacing="1" w:line="240" w:lineRule="auto"/>
        <w:outlineLvl w:val="1"/>
        <w:rPr>
          <w:rFonts w:ascii="TH NiramitIT๙" w:eastAsia="Times New Roman" w:hAnsi="TH NiramitIT๙" w:cs="TH NiramitIT๙"/>
          <w:b/>
          <w:bCs/>
          <w:caps/>
          <w:color w:val="343A40"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b/>
          <w:bCs/>
          <w:caps/>
          <w:color w:val="343A40"/>
          <w:sz w:val="32"/>
          <w:szCs w:val="32"/>
          <w:cs/>
        </w:rPr>
        <w:t>หลักสูตรที่จัดอบรม</w:t>
      </w:r>
    </w:p>
    <w:p w14:paraId="6F9A6C24" w14:textId="77777777" w:rsidR="00B96D0B" w:rsidRPr="00B96D0B" w:rsidRDefault="00B96D0B" w:rsidP="00B96D0B">
      <w:pPr>
        <w:spacing w:after="100" w:afterAutospacing="1" w:line="240" w:lineRule="auto"/>
        <w:jc w:val="both"/>
        <w:rPr>
          <w:rFonts w:ascii="TH NiramitIT๙" w:eastAsia="Times New Roman" w:hAnsi="TH NiramitIT๙" w:cs="TH NiramitIT๙"/>
          <w:color w:val="4F614A"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>   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ชื่อหลักสูตร "เกษตรทฤษฎีใหม่ ยึดปรัชญาเศรษฐกิจพอเพียง นา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1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ไร่ ได้ข้าว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100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>ถัง" ประกอบด้วย การปรับเปลี่ยนแนวคิดการปฏิบัติสู่การดำเนินชีวิต ตามปรัชญาเศรษฐกิจพอเพียง การทำน้ำหมัก/ปุ๋ยหมักชีวภาพ การทำไร่นาสวนผสม การทำน้ำยาซักผ้า น้ำยาอเนกประสงค์ และการทำนาอินทรีย์</w:t>
      </w:r>
      <w:proofErr w:type="spellStart"/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>ย์</w:t>
      </w:r>
      <w:proofErr w:type="spellEnd"/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 การเลี้ยงกบ เลี้ยงปลาดุก เตาประหยัดพลังงานน้ำส้มควันไม้ และพลังงานทดแทน การเพาะปลูกผักหวานป่า การอนุรักษ์ป่า การทำบัญชีครัวเรือน และการจัดทำแผนการผลิตทางการเกษตรตามแนวทฤษฎีใหม่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br/>
        <w:t xml:space="preserve">   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>คุณหนูกาล เป็นนักบริหารจัดการแม้จะมีข้อจำกัดในพื้นที่แต่สามารถบริหารจัดการได้ประโยชน์สูงสุด</w:t>
      </w:r>
    </w:p>
    <w:p w14:paraId="1233943F" w14:textId="768B6ECE" w:rsidR="00B96D0B" w:rsidRPr="00B96D0B" w:rsidRDefault="00B96D0B" w:rsidP="00B96D0B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noProof/>
          <w:sz w:val="32"/>
          <w:szCs w:val="32"/>
        </w:rPr>
        <w:drawing>
          <wp:inline distT="0" distB="0" distL="0" distR="0" wp14:anchorId="2A1DD34B" wp14:editId="695ED7D8">
            <wp:extent cx="4080510" cy="139763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AEF67" w14:textId="77777777" w:rsidR="00B96D0B" w:rsidRPr="00B96D0B" w:rsidRDefault="00B96D0B" w:rsidP="00B96D0B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sz w:val="32"/>
          <w:szCs w:val="32"/>
        </w:rPr>
        <w:t>   </w:t>
      </w:r>
      <w:r w:rsidRPr="00B96D0B">
        <w:rPr>
          <w:rFonts w:ascii="TH NiramitIT๙" w:eastAsia="Times New Roman" w:hAnsi="TH NiramitIT๙" w:cs="TH NiramitIT๙"/>
          <w:sz w:val="32"/>
          <w:szCs w:val="32"/>
          <w:cs/>
        </w:rPr>
        <w:t>คุณหนูกาลมีความพอใจในสิ่งที่ตนเองทำ (ฉันทะ) มีความขยันหมั่นเพียรในอาชีพของตนเอง (วิริยะ) เอาใจฝักใฝ่ในสิ่งนั้น ไม่วางธุระ (จิตตะ) ใช้ปัญญาพิจารณาใคร่ครวญหาเหตุผล คิดค้นหาวิธีการแก้ไขปัญหาปรับปรุงอยู่เสมอ ไม่ฟุ้งซ่าน ไม่วอกแวกเมื่อพบข้อบกพร่องของงานก็รีบแก้ไขทำให้ดียิ่งขึ้น (วิมังสา)</w:t>
      </w:r>
    </w:p>
    <w:p w14:paraId="074F3D4E" w14:textId="77777777" w:rsidR="00B96D0B" w:rsidRPr="00B96D0B" w:rsidRDefault="00B96D0B" w:rsidP="00B96D0B">
      <w:pPr>
        <w:spacing w:after="100" w:afterAutospacing="1" w:line="240" w:lineRule="auto"/>
        <w:outlineLvl w:val="1"/>
        <w:rPr>
          <w:rFonts w:ascii="TH NiramitIT๙" w:eastAsia="Times New Roman" w:hAnsi="TH NiramitIT๙" w:cs="TH NiramitIT๙"/>
          <w:b/>
          <w:bCs/>
          <w:caps/>
          <w:color w:val="343A40"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b/>
          <w:bCs/>
          <w:caps/>
          <w:color w:val="343A40"/>
          <w:sz w:val="32"/>
          <w:szCs w:val="32"/>
          <w:cs/>
        </w:rPr>
        <w:t>ความพร้อมของศูนย์</w:t>
      </w:r>
    </w:p>
    <w:p w14:paraId="05EF889F" w14:textId="77777777" w:rsidR="00B96D0B" w:rsidRPr="00B96D0B" w:rsidRDefault="00B96D0B" w:rsidP="00B96D0B">
      <w:pPr>
        <w:spacing w:after="100" w:afterAutospacing="1" w:line="240" w:lineRule="auto"/>
        <w:jc w:val="both"/>
        <w:rPr>
          <w:rFonts w:ascii="TH NiramitIT๙" w:eastAsia="Times New Roman" w:hAnsi="TH NiramitIT๙" w:cs="TH NiramitIT๙"/>
          <w:color w:val="4F614A"/>
          <w:sz w:val="32"/>
          <w:szCs w:val="32"/>
        </w:rPr>
      </w:pP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>   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ศูนย์ฯ มีอาคารฝึกอบรมสามารถรองรับผู้เข้ารับการฝึกอบรมได้ประมาณ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100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คน และเรือนนอนรองรับผู้เข้ารับการฝึกอบรมได้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50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>คน อาคารรับประทานอาหาร พร้อมโต๊ะ เก้าอี้รองรับผู้เข้ารับการ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lastRenderedPageBreak/>
        <w:t xml:space="preserve">ฝึกอบรมได้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100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คน มีห้องน้ำ จำนวน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10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 xml:space="preserve">ห้อง มีสถานที่สำหรับจัดกิจกรรม และมีโสตทัศนูปกรณ์วัสดุสำนักงานที่ เพียงพอสำหรับผู้เข้ารับการฝึกอบรม มีฐานการเรียนรู้ภายในศูนย์ฯ โดยมีวิทยากร จำนวน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</w:rPr>
        <w:t xml:space="preserve">4 </w:t>
      </w:r>
      <w:r w:rsidRPr="00B96D0B">
        <w:rPr>
          <w:rFonts w:ascii="TH NiramitIT๙" w:eastAsia="Times New Roman" w:hAnsi="TH NiramitIT๙" w:cs="TH NiramitIT๙"/>
          <w:color w:val="4F614A"/>
          <w:sz w:val="32"/>
          <w:szCs w:val="32"/>
          <w:cs/>
        </w:rPr>
        <w:t>คน</w:t>
      </w:r>
    </w:p>
    <w:p w14:paraId="53BAD031" w14:textId="77777777" w:rsidR="00BC54F0" w:rsidRPr="00B96D0B" w:rsidRDefault="00BC54F0">
      <w:pPr>
        <w:rPr>
          <w:rFonts w:ascii="TH NiramitIT๙" w:hAnsi="TH NiramitIT๙" w:cs="TH NiramitIT๙"/>
          <w:sz w:val="32"/>
          <w:szCs w:val="32"/>
        </w:rPr>
      </w:pPr>
    </w:p>
    <w:sectPr w:rsidR="00BC54F0" w:rsidRPr="00B96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72647"/>
    <w:multiLevelType w:val="multilevel"/>
    <w:tmpl w:val="3EF8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0B"/>
    <w:rsid w:val="00B96D0B"/>
    <w:rsid w:val="00BC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DC6E"/>
  <w15:chartTrackingRefBased/>
  <w15:docId w15:val="{D2596653-7EB7-4805-9573-3E64BF7D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6D0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B96D0B"/>
    <w:rPr>
      <w:rFonts w:ascii="Angsana New" w:eastAsia="Times New Roman" w:hAnsi="Angsana New" w:cs="Angsana New"/>
      <w:b/>
      <w:bCs/>
      <w:sz w:val="36"/>
      <w:szCs w:val="36"/>
    </w:rPr>
  </w:style>
  <w:style w:type="paragraph" w:customStyle="1" w:styleId="mb-5">
    <w:name w:val="mb-5"/>
    <w:basedOn w:val="a"/>
    <w:rsid w:val="00B96D0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list-inline-item">
    <w:name w:val="list-inline-item"/>
    <w:basedOn w:val="a"/>
    <w:rsid w:val="00B96D0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3">
    <w:name w:val="Normal (Web)"/>
    <w:basedOn w:val="a"/>
    <w:uiPriority w:val="99"/>
    <w:semiHidden/>
    <w:unhideWhenUsed/>
    <w:rsid w:val="00B96D0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xt-primary">
    <w:name w:val="text-primary"/>
    <w:basedOn w:val="a0"/>
    <w:rsid w:val="00B96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2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2020-08-13T08:49:00Z</dcterms:created>
  <dcterms:modified xsi:type="dcterms:W3CDTF">2020-08-13T08:51:00Z</dcterms:modified>
</cp:coreProperties>
</file>